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1936434</wp:posOffset>
                      </wp:positionH>
                      <wp:positionV relativeFrom="paragraph">
                        <wp:posOffset>119064</wp:posOffset>
                      </wp:positionV>
                      <wp:extent cx="266065" cy="2571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1936434</wp:posOffset>
                      </wp:positionH>
                      <wp:positionV relativeFrom="paragraph">
                        <wp:posOffset>119064</wp:posOffset>
                      </wp:positionV>
                      <wp:extent cx="266065" cy="2571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66065" cy="2571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5244150</wp:posOffset>
                      </wp:positionH>
                      <wp:positionV relativeFrom="paragraph">
                        <wp:posOffset>111443</wp:posOffset>
                      </wp:positionV>
                      <wp:extent cx="266065" cy="2571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5244150</wp:posOffset>
                      </wp:positionH>
                      <wp:positionV relativeFrom="paragraph">
                        <wp:posOffset>111443</wp:posOffset>
                      </wp:positionV>
                      <wp:extent cx="266065" cy="2571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66065" cy="257175"/>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5</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4162.010.26.1.0280-2026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ANDERSON GEOVERTI GONZALEZ PEREZ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bookmarkStart w:colFirst="0" w:colLast="0" w:name="_heading=h.372apxc94gz9" w:id="0"/>
            <w:bookmarkEnd w:id="0"/>
            <w:r w:rsidDel="00000000" w:rsidR="00000000" w:rsidRPr="00000000">
              <w:rPr>
                <w:rFonts w:ascii="Arial" w:cs="Arial" w:eastAsia="Arial" w:hAnsi="Arial"/>
                <w:color w:val="000000"/>
                <w:sz w:val="24"/>
                <w:szCs w:val="24"/>
                <w:rtl w:val="0"/>
              </w:rPr>
              <w:t xml:space="preserve">Documento de identificación: 1.005.829.768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16/ene/2026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41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Prestación de Servicios de apoyo a la gestión No. 4162.010.26.1.0280-2026, suscrito con el señor ANDERSON GEOVERTY GONZÁLEZ PEREZ hasta el día 30 de junio de 2026. SEGUNDO: ADICIONAR el Contrato de Prestación de Servicios de apoyo a la gestión No. 4162.010.26.1.0280-2026 en la suma de CUATRO MILLONES QUINIENTOS CUARENTA Y DOS MIL PESOS MCTE ($4.542.000). TERCERO: El valor del contrato incluida la adición es TRECE MILLONES SEISCIENTOS VEINTISÉIS MIL PESOS MCTE ($13.626.000) El Distrito de Santiago de Cali pagará el valor de la adición en DOS (2) cuotas, por valor de DOS MILLONES DOSCIENTOS SETENTA Y UN MIL PESOS M/CTE ($2.271.000).</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tc>
      </w:tr>
      <w:tr>
        <w:trPr>
          <w:cantSplit w:val="0"/>
          <w:trHeight w:val="62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B">
            <w:pP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Adición: CUATRO MILLONES QUINIENTOS CUARENTA Y DOS MIL PESOS M/CTE ($4.542.000).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Prórroga: Hasta el 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rHeight w:val="182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56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39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141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$13.626.000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$ 2.271.000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$ 2.271.000</w:t>
                  </w:r>
                </w:p>
              </w:tc>
            </w:tr>
          </w:tbl>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 </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8">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w:t>
            </w:r>
            <w:r w:rsidDel="00000000" w:rsidR="00000000" w:rsidRPr="00000000">
              <w:rPr>
                <w:rtl w:val="0"/>
              </w:rPr>
              <w:t xml:space="preserve"> </w:t>
            </w:r>
            <w:r w:rsidDel="00000000" w:rsidR="00000000" w:rsidRPr="00000000">
              <w:rPr>
                <w:rFonts w:ascii="Arial" w:cs="Arial" w:eastAsia="Arial" w:hAnsi="Arial"/>
                <w:sz w:val="24"/>
                <w:szCs w:val="24"/>
                <w:rtl w:val="0"/>
              </w:rPr>
              <w:t xml:space="preserve">1080776911</w:t>
            </w:r>
          </w:p>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8823882569</w:t>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05/may/2026</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7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 ABRIL 2026, para el pago de esta cuenta, según decreto 1273 de 23/07/2018 que permite efectuar la cancelación mes vencido de la seguridad social. Se compromete a pagar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4162.010.26.1.0280-2026</w:t>
            </w:r>
          </w:p>
          <w:p w:rsidR="00000000" w:rsidDel="00000000" w:rsidP="00000000" w:rsidRDefault="00000000" w:rsidRPr="00000000" w14:paraId="00000078">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tl w:val="0"/>
              </w:rPr>
              <w:t xml:space="preserve"> </w:t>
            </w:r>
            <w:r w:rsidDel="00000000" w:rsidR="00000000" w:rsidRPr="00000000">
              <w:rPr>
                <w:rFonts w:ascii="Arial" w:cs="Arial" w:eastAsia="Arial" w:hAnsi="Arial"/>
                <w:sz w:val="24"/>
                <w:szCs w:val="24"/>
                <w:rtl w:val="0"/>
              </w:rPr>
              <w:t xml:space="preserve">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a los procesos de iniciación y formación deportiva mediante la estructuración, programación y ejecución de sesiones en la disciplina de fútbol, desarrolladas conforme a la metodología oficial establecida. El plan se implementó durante el mes de mayo en la Cancha Múltiple La Bendición (Comuna 21, Santiago de Cali), con la participación de 12 beneficiarios. La intervención se llevó a cabo en alineación con los objetivos estratégicos de la Secretaría del Deporte y la Recreación y bajo los lineamientos del programa Deporvida, asegurando trazabilidad, rigor metodológico y cumplimiento de las obligaciones contractuales.</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7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estructuración de la base de datos SIDER, orientada al control y seguimiento de la asistencia de los beneficiarios del programa. Este instrumento fue diseñado para optimizar su actualización periódica y garantizar el cumplimiento de las obligaciones contractuales. La acción permitió consolidar información verificable, generando insumos para el control interno y fortaleciendo los mecanismos institucionales de monitoreo y evaluación.</w:t>
            </w:r>
          </w:p>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mesa de trabajo de formadores convocada por el Coordinador Zonal del programa Deporvida, realizada el 04 de mayo de 2026 a las 9:00 a. m. en el salón de la Cancha La Bendición, ubicado en el Barrio Manuela Beltrán, Comuna 21. La sesión tuvo como objetivo la planificación y programación en la plataforma SIDER, así como la unificación de la metodología de trabajo para los contenidos técnicos, en cumplimiento de las obligaciones contractuales establecidas.</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a la gestión del programa mediante la ejecución del cargue mensual de información en el Sistema de Gestión de la Calidad correspondiente al mes de mayo, atendiendo los lineamientos establecidos. Como evidencia de cumplimiento, se incluyó la captura del repositorio en Drive, donde reposan los entregables y documentos de respaldo de la gestión realizada durante el periodo reportado. Esta acción garantiza la trazabilidad de la información y el adecuado seguimiento institucional, en concordancia con los procesos de control y verificación definidos en el marco contractual.</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br w:type="textWrapping"/>
              <w:t xml:space="preserve">MEDIO DE VERIFICACIÓN</w:t>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p>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https://drive.google.com/drive/folders/13eAaFf3WVq1w8InJm9O4_R6mwRwJF_jS?usp=drive_link</w:t>
            </w: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Recibo a Satisfacción de Servicios: </w:t>
            </w:r>
            <w:r w:rsidDel="00000000" w:rsidR="00000000" w:rsidRPr="00000000">
              <w:rPr>
                <w:rFonts w:ascii="Arial" w:cs="Arial" w:eastAsia="Arial" w:hAnsi="Arial"/>
                <w:sz w:val="24"/>
                <w:szCs w:val="24"/>
                <w:rtl w:val="0"/>
              </w:rPr>
              <w:t xml:space="preserve">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4">
            <w:pPr>
              <w:widowControl w:val="0"/>
              <w:pBdr>
                <w:top w:space="0" w:sz="0" w:val="nil"/>
                <w:left w:space="0" w:sz="0" w:val="nil"/>
                <w:bottom w:space="0" w:sz="0" w:val="nil"/>
                <w:right w:space="0" w:sz="0" w:val="nil"/>
                <w:between w:space="0" w:sz="0" w:val="nil"/>
              </w:pBdr>
              <w:spacing w:line="265" w:lineRule="auto"/>
              <w:ind w:left="7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le recomienda a la contratista realizar el pago de la seguridad social en los días correspondientes por ley.</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ind w:firstLine="70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ind w:firstLine="70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ind w:firstLine="70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ind w:firstLine="70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ind w:firstLine="70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___________________________</w:t>
            </w:r>
          </w:p>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198755" cy="266065"/>
                  <wp:effectExtent b="0" l="0" r="0" t="0"/>
                  <wp:wrapNone/>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98755" cy="26606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7825" cy="169545"/>
                  <wp:effectExtent b="0" l="0" r="0" t="0"/>
                  <wp:wrapNone/>
                  <wp:docPr id="4"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77825" cy="169545"/>
                          </a:xfrm>
                          <a:prstGeom prst="rect"/>
                          <a:ln/>
                        </pic:spPr>
                      </pic:pic>
                    </a:graphicData>
                  </a:graphic>
                </wp:anchor>
              </w:drawing>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w:t>
            </w:r>
            <w:r w:rsidDel="00000000" w:rsidR="00000000" w:rsidRPr="00000000">
              <w:rPr>
                <w:rFonts w:ascii="Arial" w:cs="Arial" w:eastAsia="Arial" w:hAnsi="Arial"/>
                <w:sz w:val="24"/>
                <w:szCs w:val="24"/>
                <w:rtl w:val="0"/>
              </w:rPr>
              <w:t xml:space="preserve">25/may</w:t>
            </w:r>
            <w:r w:rsidDel="00000000" w:rsidR="00000000" w:rsidRPr="00000000">
              <w:rPr>
                <w:rFonts w:ascii="Arial" w:cs="Arial" w:eastAsia="Arial" w:hAnsi="Arial"/>
                <w:color w:val="000000"/>
                <w:sz w:val="24"/>
                <w:szCs w:val="24"/>
                <w:rtl w:val="0"/>
              </w:rPr>
              <w:t xml:space="preserve">/2026</w:t>
            </w:r>
          </w:p>
        </w:tc>
      </w:tr>
    </w:tbl>
    <w:p w:rsidR="00000000" w:rsidDel="00000000" w:rsidP="00000000" w:rsidRDefault="00000000" w:rsidRPr="00000000" w14:paraId="000000B8">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9">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5"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xkosWllcU4402OXjt9TdXKn//Q==">CgMxLjAyDmguMzcyYXB4Yzk0Z3o5OAByITFZbTJqVjQ4cmxPdnNkbkpidWREeDE3OVRlRGRKMDlMMA==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